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FF" w:rsidRPr="009C0E4A" w:rsidRDefault="00382400" w:rsidP="003824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      АДМИНИСТРАЦИЯ               ПРОЕКТ</w:t>
      </w:r>
    </w:p>
    <w:p w:rsidR="00B854FF" w:rsidRPr="009C0E4A" w:rsidRDefault="00B854FF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0E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МИЛЕНИНСКОГО СЕЛЬСОВЕТА </w:t>
      </w:r>
    </w:p>
    <w:p w:rsidR="00B854FF" w:rsidRPr="00B854FF" w:rsidRDefault="00B854FF" w:rsidP="009C0E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C0E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ФАТЕЖСКОГО РАЙОНА </w:t>
      </w:r>
      <w:r w:rsidRPr="00B854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B854FF" w:rsidRDefault="00B854FF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854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9C0E4A" w:rsidRPr="00B854FF" w:rsidRDefault="009C0E4A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_ июля 2020года №</w:t>
      </w:r>
    </w:p>
    <w:p w:rsidR="00B854FF" w:rsidRPr="00B854FF" w:rsidRDefault="00B854FF" w:rsidP="009C0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         </w:t>
      </w:r>
      <w:r w:rsidR="009C0E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B85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54FF" w:rsidRPr="00382400" w:rsidRDefault="00B854FF" w:rsidP="003824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854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  Программы  профилактики нарушений  обязательных требований, осуществляемой органом муниципального контрол</w:t>
      </w:r>
      <w:proofErr w:type="gramStart"/>
      <w:r w:rsidRPr="00B854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я-</w:t>
      </w:r>
      <w:proofErr w:type="gramEnd"/>
      <w:r w:rsidRPr="00B854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администрацией </w:t>
      </w:r>
      <w:r w:rsidRPr="009C0E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Миленинского сельсовета на  2020</w:t>
      </w:r>
      <w:r w:rsidRPr="00B854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</w:t>
      </w:r>
      <w:r w:rsidR="009C0E4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9C0E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плановый  период  2021-2022</w:t>
      </w:r>
      <w:r w:rsidRPr="00B854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proofErr w:type="spellStart"/>
      <w:r w:rsidRPr="00B854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г.г</w:t>
      </w:r>
      <w:proofErr w:type="spellEnd"/>
      <w:r w:rsidRPr="00B854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54FF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  Постановлением Правительства  РФ  от 26.12.2018 года №  1680 « Об  утверждении общих требований к организации и осуществлению органами государственного контроля (надзора</w:t>
      </w:r>
      <w:proofErr w:type="gramEnd"/>
      <w:r w:rsidRPr="00B854FF">
        <w:rPr>
          <w:rFonts w:ascii="Arial" w:eastAsia="Times New Roman" w:hAnsi="Arial" w:cs="Arial"/>
          <w:sz w:val="24"/>
          <w:szCs w:val="24"/>
          <w:lang w:eastAsia="ru-RU"/>
        </w:rPr>
        <w:t>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</w:t>
      </w:r>
      <w:r w:rsidRPr="009C0E4A">
        <w:rPr>
          <w:rFonts w:ascii="Arial" w:eastAsia="Times New Roman" w:hAnsi="Arial" w:cs="Arial"/>
          <w:sz w:val="24"/>
          <w:szCs w:val="24"/>
          <w:lang w:eastAsia="ru-RU"/>
        </w:rPr>
        <w:t xml:space="preserve">ция  Миленинского сельсовета Фатежского района 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  ПОСТАНОВЛЯЕТ</w:t>
      </w:r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E4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>. Утвердить Программу профилактики нарушений  обязательных требований, осуществляемой органом муниципального контрол</w:t>
      </w:r>
      <w:proofErr w:type="gramStart"/>
      <w:r w:rsidRPr="00B854FF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</w:t>
      </w:r>
      <w:r w:rsidRPr="009C0E4A">
        <w:rPr>
          <w:rFonts w:ascii="Arial" w:eastAsia="Times New Roman" w:hAnsi="Arial" w:cs="Arial"/>
          <w:sz w:val="24"/>
          <w:szCs w:val="24"/>
          <w:lang w:eastAsia="ru-RU"/>
        </w:rPr>
        <w:t xml:space="preserve">Миленинского сельсовета 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>на  2020 год и плановый  период  2021-2022 г.</w:t>
      </w:r>
      <w:r w:rsidR="003824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>г.. Приложение.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E4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>. Должностным лицам администр</w:t>
      </w:r>
      <w:r w:rsidRPr="009C0E4A">
        <w:rPr>
          <w:rFonts w:ascii="Arial" w:eastAsia="Times New Roman" w:hAnsi="Arial" w:cs="Arial"/>
          <w:sz w:val="24"/>
          <w:szCs w:val="24"/>
          <w:lang w:eastAsia="ru-RU"/>
        </w:rPr>
        <w:t>ации  Миленинского сельсовета</w:t>
      </w:r>
      <w:proofErr w:type="gramStart"/>
      <w:r w:rsidRPr="009C0E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2  настоящего постановления.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E4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 и подлежит разм</w:t>
      </w:r>
      <w:r w:rsidRPr="009C0E4A">
        <w:rPr>
          <w:rFonts w:ascii="Arial" w:eastAsia="Times New Roman" w:hAnsi="Arial" w:cs="Arial"/>
          <w:sz w:val="24"/>
          <w:szCs w:val="24"/>
          <w:lang w:eastAsia="ru-RU"/>
        </w:rPr>
        <w:t xml:space="preserve">ещению на официальном сайте муниципального образования «Миленинский сельсовет»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6.  </w:t>
      </w:r>
      <w:proofErr w:type="gramStart"/>
      <w:r w:rsidRPr="00B854FF">
        <w:rPr>
          <w:rFonts w:ascii="Arial" w:eastAsia="Times New Roman" w:hAnsi="Arial" w:cs="Arial"/>
          <w:sz w:val="24"/>
          <w:szCs w:val="24"/>
          <w:lang w:eastAsia="ru-RU"/>
        </w:rPr>
        <w:t>Контроль  за</w:t>
      </w:r>
      <w:proofErr w:type="gramEnd"/>
      <w:r w:rsidRPr="00B854FF">
        <w:rPr>
          <w:rFonts w:ascii="Arial" w:eastAsia="Times New Roman" w:hAnsi="Arial" w:cs="Arial"/>
          <w:sz w:val="24"/>
          <w:szCs w:val="24"/>
          <w:lang w:eastAsia="ru-RU"/>
        </w:rPr>
        <w:t>   исполнением настоящего постановления оставляю за собой.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C0E4A">
        <w:rPr>
          <w:rFonts w:ascii="Arial" w:eastAsia="Times New Roman" w:hAnsi="Arial" w:cs="Arial"/>
          <w:sz w:val="24"/>
          <w:szCs w:val="24"/>
          <w:lang w:eastAsia="ru-RU"/>
        </w:rPr>
        <w:t>Глава Миленинского сельсовета                                        Н.М. Правдина</w:t>
      </w:r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left="55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4FF" w:rsidRPr="00B854FF" w:rsidRDefault="00B854FF" w:rsidP="00B854F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4FF" w:rsidRPr="00B854FF" w:rsidRDefault="00B854FF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29"/>
      <w:bookmarkEnd w:id="0"/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B854FF" w:rsidRPr="00B854FF" w:rsidRDefault="00B854FF" w:rsidP="00D317D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профилактики нарушений  обязательных требований, осуществляемой органом муниципального контрол</w:t>
      </w:r>
      <w:proofErr w:type="gramStart"/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я-</w:t>
      </w:r>
      <w:proofErr w:type="gramEnd"/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администрацией </w:t>
      </w:r>
      <w:r w:rsidRPr="009C0E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Миленинского сельсовета </w:t>
      </w:r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  2020 год и плановый  период  2021-2022 </w:t>
      </w:r>
      <w:proofErr w:type="spellStart"/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г.г</w:t>
      </w:r>
      <w:proofErr w:type="spellEnd"/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7144"/>
      </w:tblGrid>
      <w:tr w:rsidR="00B854FF" w:rsidRPr="00B854FF" w:rsidTr="00B854FF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профилактики нарушений  обязательных требований, осуществляемой органом муниципального контрол</w:t>
            </w:r>
            <w:proofErr w:type="gramStart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я-</w:t>
            </w:r>
            <w:proofErr w:type="gram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администрацией </w:t>
            </w:r>
            <w:r w:rsidRPr="009C0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Миленинского сельсовета </w:t>
            </w: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  2020 год   </w:t>
            </w:r>
          </w:p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плановый  период  2021-2022 </w:t>
            </w:r>
            <w:proofErr w:type="spellStart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proofErr w:type="gramStart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4FF" w:rsidRPr="00B854FF" w:rsidTr="00B854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B854FF" w:rsidRPr="00B854FF" w:rsidTr="00B854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9C0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Миленинского сельсовета Фатежского района </w:t>
            </w: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– Администрация поселения)</w:t>
            </w:r>
          </w:p>
        </w:tc>
      </w:tr>
      <w:tr w:rsidR="00B854FF" w:rsidRPr="00B854FF" w:rsidTr="00B854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</w:t>
            </w:r>
            <w:r w:rsidRPr="009C0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законами, законами Курской</w:t>
            </w: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</w:t>
            </w:r>
            <w:proofErr w:type="gramStart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алее – требований, </w:t>
            </w: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установленных законодательством РФ);</w:t>
            </w:r>
          </w:p>
          <w:p w:rsidR="00B854FF" w:rsidRPr="00B854FF" w:rsidRDefault="00B854FF" w:rsidP="00B854FF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B854FF" w:rsidRPr="00B854FF" w:rsidTr="00B854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B854FF" w:rsidRPr="00B854FF" w:rsidRDefault="00B854FF" w:rsidP="00B854FF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B854FF" w:rsidRPr="00B854FF" w:rsidRDefault="00B854FF" w:rsidP="00B854FF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B854FF" w:rsidRPr="00B854FF" w:rsidTr="00B854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ind w:firstLine="3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и плановый период 2021-2022 годов</w:t>
            </w:r>
          </w:p>
        </w:tc>
      </w:tr>
      <w:tr w:rsidR="00B854FF" w:rsidRPr="00B854FF" w:rsidTr="00B854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ind w:firstLine="34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B854FF" w:rsidRPr="00B854FF" w:rsidTr="00B854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</w:t>
            </w:r>
            <w:r w:rsidRPr="009C0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 деятельность на территории Миленинского сельсовета</w:t>
            </w: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требований законодательства РФ;</w:t>
            </w:r>
          </w:p>
          <w:p w:rsidR="00B854FF" w:rsidRPr="00B854FF" w:rsidRDefault="00B854FF" w:rsidP="00B854FF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B854FF" w:rsidRPr="00B854FF" w:rsidRDefault="00B854FF" w:rsidP="00B854FF">
            <w:pPr>
              <w:spacing w:before="100" w:beforeAutospacing="1" w:after="100" w:afterAutospacing="1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B854FF" w:rsidRPr="00B854FF" w:rsidTr="00B854F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ind w:firstLine="34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B854FF" w:rsidRPr="00B854FF" w:rsidRDefault="00B854FF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F3FA7" w:rsidRPr="009C0E4A" w:rsidRDefault="005F3FA7" w:rsidP="009C0E4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854FF" w:rsidRPr="00B854FF" w:rsidRDefault="00B854FF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854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Раздел I. Аналитическая часть программы профилактики.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2. Профилактика нарушений обязательных требований  проводится  в  рамках осуществления муниципального контроля.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 4. Задачами программы являются: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4.1.Укрепление системы профилактики нарушений обязательных требований путем активизации профилактической деятельности.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4.2. Выявление причин, факторов и условий, способствующих нарушениям обязательных требований.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4.3. Повышение правосознания и правовой культуры руководителей юридических лиц, индивидуальных предпринимателей и граждан.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5. Программа разработана на 2020 год.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>7. Функции муниципального контроля</w:t>
      </w:r>
      <w:r w:rsidR="005F3FA7" w:rsidRPr="009C0E4A">
        <w:rPr>
          <w:rFonts w:ascii="Arial" w:eastAsia="Times New Roman" w:hAnsi="Arial" w:cs="Arial"/>
          <w:sz w:val="24"/>
          <w:szCs w:val="24"/>
          <w:lang w:eastAsia="ru-RU"/>
        </w:rPr>
        <w:t xml:space="preserve">  осуществляет  администрация  Миленинского сельсовета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>8. В рамках профилактики предупреждения нарушений, установленных законодательством, администрац</w:t>
      </w:r>
      <w:r w:rsidR="005F3FA7" w:rsidRPr="009C0E4A">
        <w:rPr>
          <w:rFonts w:ascii="Arial" w:eastAsia="Times New Roman" w:hAnsi="Arial" w:cs="Arial"/>
          <w:sz w:val="24"/>
          <w:szCs w:val="24"/>
          <w:lang w:eastAsia="ru-RU"/>
        </w:rPr>
        <w:t xml:space="preserve">ией  Миленинского сельсовета 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54FF" w:rsidRPr="00B854FF" w:rsidRDefault="00B854FF" w:rsidP="00B854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>   9. Виды муниципального контроля, осуществляемого администрацией   </w:t>
      </w:r>
      <w:r w:rsidRPr="009C0E4A">
        <w:rPr>
          <w:rFonts w:ascii="Arial" w:eastAsia="Times New Roman" w:hAnsi="Arial" w:cs="Arial"/>
          <w:sz w:val="24"/>
          <w:szCs w:val="24"/>
          <w:lang w:eastAsia="ru-RU"/>
        </w:rPr>
        <w:t>Миленинского сельсовета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63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4582"/>
        <w:gridCol w:w="4411"/>
      </w:tblGrid>
      <w:tr w:rsidR="00B854FF" w:rsidRPr="00B854FF" w:rsidTr="00B854FF">
        <w:trPr>
          <w:trHeight w:val="146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B854FF" w:rsidRPr="00B854FF" w:rsidTr="00B854FF">
        <w:trPr>
          <w:trHeight w:val="962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Муниципальный жилищный контроль на территории </w:t>
            </w:r>
            <w:r w:rsidR="005F3FA7" w:rsidRPr="009C0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Миленинского сельсовета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(ы) администрации,</w:t>
            </w:r>
            <w:r w:rsidR="005F3FA7" w:rsidRPr="009C0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(</w:t>
            </w:r>
            <w:proofErr w:type="spellStart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</w:t>
            </w:r>
            <w:proofErr w:type="spell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B854FF" w:rsidRPr="00B854FF" w:rsidTr="00B854FF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соблюдением правил благоустройства на территории  </w:t>
            </w:r>
          </w:p>
          <w:p w:rsidR="00B854FF" w:rsidRPr="00B854FF" w:rsidRDefault="005F3FA7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«Миленинский сельсовет»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(ы) администрации,</w:t>
            </w:r>
            <w:r w:rsidR="005F3FA7" w:rsidRPr="009C0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(</w:t>
            </w:r>
            <w:proofErr w:type="spellStart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</w:t>
            </w:r>
            <w:proofErr w:type="spell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:rsidR="00B854FF" w:rsidRPr="00B854FF" w:rsidRDefault="00B854FF" w:rsidP="00B854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54FF" w:rsidRPr="00B854FF" w:rsidRDefault="00B854FF" w:rsidP="00B854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    9.1. Муниципальный </w:t>
      </w:r>
      <w:proofErr w:type="gramStart"/>
      <w:r w:rsidRPr="00B854F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правил благоустройства на территории  муниципального </w:t>
      </w:r>
      <w:r w:rsidR="00067CC2" w:rsidRPr="009C0E4A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«Миленинский сельсовет» Фатежского района Курской области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proofErr w:type="gramStart"/>
      <w:r w:rsidRPr="00B854FF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действующим законодательством, Уставом муниципально</w:t>
      </w:r>
      <w:r w:rsidR="00067CC2" w:rsidRPr="009C0E4A">
        <w:rPr>
          <w:rFonts w:ascii="Arial" w:eastAsia="Times New Roman" w:hAnsi="Arial" w:cs="Arial"/>
          <w:sz w:val="24"/>
          <w:szCs w:val="24"/>
          <w:lang w:eastAsia="ru-RU"/>
        </w:rPr>
        <w:t>го образования «Миленинский сельсовет» Фатежского района Курской области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>, Правилами благоустройства территор</w:t>
      </w:r>
      <w:r w:rsidR="00067CC2" w:rsidRPr="009C0E4A">
        <w:rPr>
          <w:rFonts w:ascii="Arial" w:eastAsia="Times New Roman" w:hAnsi="Arial" w:cs="Arial"/>
          <w:sz w:val="24"/>
          <w:szCs w:val="24"/>
          <w:lang w:eastAsia="ru-RU"/>
        </w:rPr>
        <w:t>ии муниципального образования «Миленинский сельсовет» Фатежского района Курской области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>, Административным регламентом  осуществления     муниципального контроля     за    соблюдением    Правил   благоустройства    на    территории мун</w:t>
      </w:r>
      <w:r w:rsidR="00067CC2" w:rsidRPr="009C0E4A">
        <w:rPr>
          <w:rFonts w:ascii="Arial" w:eastAsia="Times New Roman" w:hAnsi="Arial" w:cs="Arial"/>
          <w:sz w:val="24"/>
          <w:szCs w:val="24"/>
          <w:lang w:eastAsia="ru-RU"/>
        </w:rPr>
        <w:t>иципального   образования  «Миленинский сельсовет» Фатежского района Курской области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постановлением администрации </w:t>
      </w:r>
      <w:r w:rsidRPr="009C0E4A">
        <w:rPr>
          <w:rFonts w:ascii="Arial" w:eastAsia="Times New Roman" w:hAnsi="Arial" w:cs="Arial"/>
          <w:sz w:val="24"/>
          <w:szCs w:val="24"/>
          <w:lang w:eastAsia="ru-RU"/>
        </w:rPr>
        <w:t>Миленинского сельсовета</w:t>
      </w:r>
      <w:r w:rsidR="00067CC2" w:rsidRPr="009C0E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67CC2" w:rsidRPr="009C0E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400">
        <w:rPr>
          <w:rFonts w:ascii="Arial" w:eastAsia="Times New Roman" w:hAnsi="Arial" w:cs="Arial"/>
          <w:sz w:val="24"/>
          <w:szCs w:val="24"/>
          <w:lang w:eastAsia="ru-RU"/>
        </w:rPr>
        <w:t>01.10.2019г.№66</w:t>
      </w:r>
      <w:proofErr w:type="gramEnd"/>
    </w:p>
    <w:p w:rsidR="00B854FF" w:rsidRPr="00B854FF" w:rsidRDefault="00B854FF" w:rsidP="00B854FF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>Функции муниципального контроля за соблюдением правил благоустройства осуществляет  администрация </w:t>
      </w:r>
      <w:r w:rsidRPr="009C0E4A">
        <w:rPr>
          <w:rFonts w:ascii="Arial" w:eastAsia="Times New Roman" w:hAnsi="Arial" w:cs="Arial"/>
          <w:sz w:val="24"/>
          <w:szCs w:val="24"/>
          <w:lang w:eastAsia="ru-RU"/>
        </w:rPr>
        <w:t>Миленинского сельсовет</w:t>
      </w:r>
      <w:proofErr w:type="gramStart"/>
      <w:r w:rsidRPr="009C0E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B854FF">
        <w:rPr>
          <w:rFonts w:ascii="Arial" w:eastAsia="Times New Roman" w:hAnsi="Arial" w:cs="Arial"/>
          <w:sz w:val="24"/>
          <w:szCs w:val="24"/>
          <w:lang w:eastAsia="ru-RU"/>
        </w:rPr>
        <w:t>должностные лица).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>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</w:t>
      </w:r>
      <w:r w:rsidR="00067CC2" w:rsidRPr="009C0E4A">
        <w:rPr>
          <w:rFonts w:ascii="Arial" w:eastAsia="Times New Roman" w:hAnsi="Arial" w:cs="Arial"/>
          <w:sz w:val="24"/>
          <w:szCs w:val="24"/>
          <w:lang w:eastAsia="ru-RU"/>
        </w:rPr>
        <w:t xml:space="preserve">вил благоустройства территории Миленинского сельсовета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</w:t>
      </w:r>
      <w:r w:rsidR="00067CC2" w:rsidRPr="009C0E4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Курской 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и  </w:t>
      </w:r>
      <w:r w:rsidR="00067CC2" w:rsidRPr="009C0E4A">
        <w:rPr>
          <w:rFonts w:ascii="Arial" w:eastAsia="Times New Roman" w:hAnsi="Arial" w:cs="Arial"/>
          <w:sz w:val="24"/>
          <w:szCs w:val="24"/>
          <w:lang w:eastAsia="ru-RU"/>
        </w:rPr>
        <w:t>администрации Миленинского сельсовета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    Объектами профилактических мероприятий при осуществлении     муниципального контроля, за соблюдением правил 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благоустройства на территории </w:t>
      </w:r>
      <w:r w:rsidRPr="009C0E4A">
        <w:rPr>
          <w:rFonts w:ascii="Arial" w:eastAsia="Times New Roman" w:hAnsi="Arial" w:cs="Arial"/>
          <w:sz w:val="24"/>
          <w:szCs w:val="24"/>
          <w:lang w:eastAsia="ru-RU"/>
        </w:rPr>
        <w:t>Миленинского сельсовета</w:t>
      </w:r>
      <w:r w:rsidR="00067CC2" w:rsidRPr="009C0E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>являются юридические лица, индивидуальные предприниматели, граждане (подконтрольные субъекты)</w:t>
      </w:r>
    </w:p>
    <w:p w:rsidR="00B854FF" w:rsidRPr="00B854FF" w:rsidRDefault="00B854FF" w:rsidP="00B854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    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</w:t>
      </w:r>
      <w:r w:rsidR="00067CC2" w:rsidRPr="009C0E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>Правил благоустройства территорий муниципального о</w:t>
      </w:r>
      <w:r w:rsidR="00067CC2" w:rsidRPr="009C0E4A">
        <w:rPr>
          <w:rFonts w:ascii="Arial" w:eastAsia="Times New Roman" w:hAnsi="Arial" w:cs="Arial"/>
          <w:sz w:val="24"/>
          <w:szCs w:val="24"/>
          <w:lang w:eastAsia="ru-RU"/>
        </w:rPr>
        <w:t xml:space="preserve">бразования  «Миленинский сельсовет»  Фатежского района Курской области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    Основанием для проведения плановой проверки является ежегодный план проведения плановых проверок.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     Плановые проверки по муниципальному </w:t>
      </w:r>
      <w:proofErr w:type="gramStart"/>
      <w:r w:rsidRPr="00B854FF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правил благоустройства в отношении юридических лиц и индивидуальных предпринимателей в 2019 году не проводились, внеплановые проверки не осуществлялись.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    9.2. Муниципальный жилищный контроль на территории </w:t>
      </w:r>
      <w:r w:rsidR="001C3D1D" w:rsidRPr="009C0E4A">
        <w:rPr>
          <w:rFonts w:ascii="Arial" w:eastAsia="Times New Roman" w:hAnsi="Arial" w:cs="Arial"/>
          <w:sz w:val="24"/>
          <w:szCs w:val="24"/>
          <w:lang w:eastAsia="ru-RU"/>
        </w:rPr>
        <w:t>Миленинского сельсовета Фатежского района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54FF" w:rsidRPr="00B854FF" w:rsidRDefault="00B854FF" w:rsidP="00D317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17DA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в соответствии с </w:t>
      </w:r>
      <w:r w:rsidR="00D317DA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СОГЛАШЕНИЕ </w:t>
      </w:r>
      <w:r w:rsidR="00D317DA" w:rsidRPr="00D317DA">
        <w:rPr>
          <w:rFonts w:ascii="Arial" w:eastAsia="Times New Roman" w:hAnsi="Arial" w:cs="Arial"/>
          <w:sz w:val="24"/>
          <w:szCs w:val="24"/>
          <w:lang w:eastAsia="ru-RU"/>
        </w:rPr>
        <w:t>о передаче осуществления части полномочий по вопросу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D317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Функции муниципального жилищного контроля </w:t>
      </w:r>
      <w:r w:rsidR="00D317DA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D317DA">
        <w:rPr>
          <w:rFonts w:ascii="Arial" w:eastAsia="Times New Roman" w:hAnsi="Arial" w:cs="Arial"/>
          <w:sz w:val="24"/>
          <w:szCs w:val="24"/>
          <w:lang w:eastAsia="ru-RU"/>
        </w:rPr>
        <w:t xml:space="preserve"> 23.12.2019г.№3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>осуществляет  администрация </w:t>
      </w:r>
      <w:r w:rsidR="00D317DA">
        <w:rPr>
          <w:rFonts w:ascii="Arial" w:eastAsia="Times New Roman" w:hAnsi="Arial" w:cs="Arial"/>
          <w:sz w:val="24"/>
          <w:szCs w:val="24"/>
          <w:lang w:eastAsia="ru-RU"/>
        </w:rPr>
        <w:t>Миленинского</w:t>
      </w:r>
      <w:bookmarkStart w:id="1" w:name="_GoBack"/>
      <w:bookmarkEnd w:id="1"/>
      <w:r w:rsidRPr="009C0E4A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proofErr w:type="gramStart"/>
      <w:r w:rsidRPr="009C0E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317DA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D317DA">
        <w:rPr>
          <w:rFonts w:ascii="Arial" w:eastAsia="Times New Roman" w:hAnsi="Arial" w:cs="Arial"/>
          <w:sz w:val="24"/>
          <w:szCs w:val="24"/>
          <w:lang w:eastAsia="ru-RU"/>
        </w:rPr>
        <w:t>должностные лица)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 </w:t>
      </w:r>
      <w:hyperlink r:id="rId5" w:history="1">
        <w:r w:rsidRPr="00B854F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B854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</w:t>
      </w:r>
      <w:r w:rsidR="001C3D1D" w:rsidRPr="009C0E4A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Курской области и администрации Миленинского сельсовета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Объектами профилактических мероприятий при осуществлении     муниципального жилищного контроля на территории </w:t>
      </w:r>
      <w:r w:rsidRPr="009C0E4A">
        <w:rPr>
          <w:rFonts w:ascii="Arial" w:eastAsia="Times New Roman" w:hAnsi="Arial" w:cs="Arial"/>
          <w:sz w:val="24"/>
          <w:szCs w:val="24"/>
          <w:lang w:eastAsia="ru-RU"/>
        </w:rPr>
        <w:t>Миленинского сельсовета</w:t>
      </w:r>
      <w:r w:rsidR="001C3D1D" w:rsidRPr="009C0E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t>являются юридические лица, индивидуальные предприниматели, граждане (подконтрольные субъекты)</w:t>
      </w:r>
    </w:p>
    <w:p w:rsidR="009C0E4A" w:rsidRPr="00B854FF" w:rsidRDefault="00B854FF" w:rsidP="00382400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 Плановые проверки по муниципальному жилищному контролю в отношении юридических лиц и индивидуальных предпринимателей в 2019 году не проводились, </w:t>
      </w:r>
    </w:p>
    <w:p w:rsidR="00B854FF" w:rsidRPr="00B854FF" w:rsidRDefault="00B854FF" w:rsidP="00B854FF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Раздел II. План мероприятий по профилактике нарушений,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реализуемых</w:t>
      </w:r>
      <w:proofErr w:type="gramEnd"/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администрацией  </w:t>
      </w:r>
      <w:r w:rsidRPr="009C0E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Миленинского сельсовета</w:t>
      </w:r>
      <w:r w:rsidR="009C0E4A" w:rsidRPr="009C0E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2020 году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10320" w:type="dxa"/>
        <w:tblCellSpacing w:w="0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433"/>
        <w:gridCol w:w="2043"/>
        <w:gridCol w:w="2175"/>
      </w:tblGrid>
      <w:tr w:rsidR="00B854FF" w:rsidRPr="00B854FF" w:rsidTr="00B854FF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   </w:t>
            </w:r>
          </w:p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854FF" w:rsidRPr="00B854FF" w:rsidTr="00B854FF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854FF" w:rsidRPr="00B854FF" w:rsidTr="00B854FF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на </w:t>
            </w:r>
            <w:r w:rsidR="009C0E4A" w:rsidRPr="009C0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официальном сайте муниципального образования</w:t>
            </w: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</w:t>
            </w:r>
            <w:proofErr w:type="spell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на осуществление муниципального контроля</w:t>
            </w:r>
          </w:p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4FF" w:rsidRPr="00B854FF" w:rsidTr="00B854FF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854FF" w:rsidRPr="00B854FF" w:rsidRDefault="00B854FF" w:rsidP="00B854FF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</w:t>
            </w:r>
            <w:proofErr w:type="spell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на осуществление муниципального контроля</w:t>
            </w:r>
          </w:p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4FF" w:rsidRPr="00B854FF" w:rsidTr="00B854FF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</w:t>
            </w: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</w:t>
            </w:r>
            <w:proofErr w:type="spell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:rsidR="00B854FF" w:rsidRPr="00B854FF" w:rsidRDefault="00B854FF" w:rsidP="00B854FF">
      <w:pPr>
        <w:spacing w:before="100" w:beforeAutospacing="1"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B854FF" w:rsidRPr="00B854FF" w:rsidRDefault="00B854FF" w:rsidP="00B854FF">
      <w:pPr>
        <w:spacing w:before="100" w:beforeAutospacing="1"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Раздел III.  Проект плана программных мероприятий по профилактике нарушений на 2021-2022 гг.</w:t>
      </w:r>
    </w:p>
    <w:tbl>
      <w:tblPr>
        <w:tblW w:w="10320" w:type="dxa"/>
        <w:tblCellSpacing w:w="0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433"/>
        <w:gridCol w:w="2043"/>
        <w:gridCol w:w="2175"/>
      </w:tblGrid>
      <w:tr w:rsidR="00B854FF" w:rsidRPr="00B854FF" w:rsidTr="00B854FF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   </w:t>
            </w:r>
          </w:p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854FF" w:rsidRPr="00B854FF" w:rsidTr="00B854FF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854FF" w:rsidRPr="00B854FF" w:rsidTr="00B854FF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</w:t>
            </w:r>
            <w:r w:rsidR="009C0E4A" w:rsidRPr="009C0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ещение на официальном сайте муниципального образования</w:t>
            </w: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54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планируемого срока (по мере необходимости) 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</w:t>
            </w:r>
            <w:proofErr w:type="spell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54FF" w:rsidRPr="00B854FF" w:rsidTr="00B854FF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854FF" w:rsidRPr="00B854FF" w:rsidRDefault="00B854FF" w:rsidP="00B854FF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</w:t>
            </w:r>
            <w:proofErr w:type="spell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B854FF" w:rsidRPr="00B854FF" w:rsidTr="00B854FF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</w:t>
            </w: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 </w:t>
            </w:r>
            <w:proofErr w:type="spellStart"/>
            <w:proofErr w:type="gram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ые</w:t>
            </w:r>
            <w:proofErr w:type="spellEnd"/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:rsidR="00B854FF" w:rsidRPr="00B854FF" w:rsidRDefault="00B854FF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IV.  Целевые показатели Программы и их значения по годам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  <w:gridCol w:w="1066"/>
        <w:gridCol w:w="1076"/>
        <w:gridCol w:w="1330"/>
      </w:tblGrid>
      <w:tr w:rsidR="00B854FF" w:rsidRPr="00B854FF" w:rsidTr="00B854FF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Период, год</w:t>
            </w:r>
          </w:p>
        </w:tc>
      </w:tr>
      <w:tr w:rsidR="00B854FF" w:rsidRPr="00B854FF" w:rsidTr="00B854F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854FF" w:rsidRPr="00B854FF" w:rsidRDefault="00B854FF" w:rsidP="00B854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B854FF" w:rsidRPr="00B854FF" w:rsidTr="00B854FF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профилактических мероприятий в контрольной деятельности администрации МО</w:t>
            </w:r>
            <w:r w:rsidR="009C0E4A" w:rsidRPr="009C0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«Миленинский сельсовет»</w:t>
            </w: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ед.) 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854FF" w:rsidRPr="00B854FF" w:rsidRDefault="009C0E4A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E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854FF" w:rsidRPr="00B854FF" w:rsidTr="00B854FF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мероприятий по информированию населения о  требованиях в  сфере  муниципального контроля, %   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</w:tbl>
    <w:p w:rsidR="00B854FF" w:rsidRPr="00B854FF" w:rsidRDefault="00B854FF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854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Раздел V. Оценка эффективности программы.</w:t>
      </w:r>
    </w:p>
    <w:p w:rsidR="00B854FF" w:rsidRPr="00B854FF" w:rsidRDefault="00B854FF" w:rsidP="009C0E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854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Отчетные показатели на 2020 год.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9"/>
        <w:gridCol w:w="2568"/>
      </w:tblGrid>
      <w:tr w:rsidR="00B854FF" w:rsidRPr="00B854FF" w:rsidTr="00B854FF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854FF" w:rsidRPr="00B854FF" w:rsidTr="00B85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854FF" w:rsidRPr="00B854FF" w:rsidTr="00B85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B854FF" w:rsidRPr="00B854FF" w:rsidTr="00B85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B854FF" w:rsidRPr="00B854FF" w:rsidTr="00B85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B854FF" w:rsidRPr="00B854FF" w:rsidTr="00B85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Удовлетворенность в обеспечении доступности </w:t>
            </w: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Не менее 60% </w:t>
            </w: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опрошенных</w:t>
            </w:r>
          </w:p>
        </w:tc>
      </w:tr>
      <w:tr w:rsidR="00B854FF" w:rsidRPr="00B854FF" w:rsidTr="00B85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B854FF" w:rsidRPr="00B854FF" w:rsidTr="00B85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B854FF" w:rsidRPr="00B854FF" w:rsidRDefault="00B854FF" w:rsidP="00B854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br/>
        <w:t>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</w:t>
      </w:r>
      <w:proofErr w:type="gramStart"/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          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   Проект отчетных показателей на 2021 и 2022 годы.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B854FF" w:rsidRPr="00B854FF" w:rsidTr="00B854FF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854FF" w:rsidRPr="00B854FF" w:rsidTr="00B85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854FF" w:rsidRPr="00B854FF" w:rsidTr="00B85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B854FF" w:rsidRPr="00B854FF" w:rsidTr="00B85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B854FF" w:rsidRPr="00B854FF" w:rsidTr="00B85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B854FF" w:rsidRPr="00B854FF" w:rsidTr="00B85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B854FF" w:rsidRPr="00B854FF" w:rsidTr="00B85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B854FF" w:rsidRPr="00B854FF" w:rsidTr="00B854FF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54FF" w:rsidRPr="00B854FF" w:rsidRDefault="00B854FF" w:rsidP="00B854F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5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B854FF" w:rsidRPr="00B854FF" w:rsidRDefault="00B854FF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VI.  Ресурсное обеспечение программы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 xml:space="preserve">            Ресурсное обеспечение Программы включает в себя кадровое и информационно-аналитическое обеспечение ее реализации. </w:t>
      </w:r>
      <w:r w:rsidRPr="00B854F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           Информационно-аналитическое обеспечение реализации Программы осуществляется с использованием официального </w:t>
      </w:r>
      <w:proofErr w:type="gramStart"/>
      <w:r w:rsidRPr="00B854FF">
        <w:rPr>
          <w:rFonts w:ascii="Arial" w:eastAsia="Times New Roman" w:hAnsi="Arial" w:cs="Arial"/>
          <w:sz w:val="24"/>
          <w:szCs w:val="24"/>
          <w:lang w:eastAsia="ru-RU"/>
        </w:rPr>
        <w:t>сайта органов местного самоуправления Советского района Кировской области</w:t>
      </w:r>
      <w:proofErr w:type="gramEnd"/>
      <w:r w:rsidRPr="00B854FF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B854FF" w:rsidRPr="00B854FF" w:rsidRDefault="00B854FF" w:rsidP="00B85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4FF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B854FF" w:rsidRPr="00B854FF" w:rsidRDefault="00B854FF" w:rsidP="00B854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DF5" w:rsidRPr="009C0E4A" w:rsidRDefault="00A63DF5">
      <w:pPr>
        <w:rPr>
          <w:rFonts w:ascii="Arial" w:hAnsi="Arial" w:cs="Arial"/>
          <w:sz w:val="24"/>
          <w:szCs w:val="24"/>
        </w:rPr>
      </w:pPr>
    </w:p>
    <w:sectPr w:rsidR="00A63DF5" w:rsidRPr="009C0E4A" w:rsidSect="009C0E4A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FF"/>
    <w:rsid w:val="00067CC2"/>
    <w:rsid w:val="001C3D1D"/>
    <w:rsid w:val="00382400"/>
    <w:rsid w:val="005F3FA7"/>
    <w:rsid w:val="009C0E4A"/>
    <w:rsid w:val="00A63DF5"/>
    <w:rsid w:val="00B854FF"/>
    <w:rsid w:val="00D317DA"/>
    <w:rsid w:val="00E0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800;fld=134;dst=100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</Company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</dc:creator>
  <cp:keywords/>
  <dc:description/>
  <cp:lastModifiedBy>нат</cp:lastModifiedBy>
  <cp:revision>3</cp:revision>
  <dcterms:created xsi:type="dcterms:W3CDTF">2020-07-14T08:47:00Z</dcterms:created>
  <dcterms:modified xsi:type="dcterms:W3CDTF">2020-07-21T06:34:00Z</dcterms:modified>
</cp:coreProperties>
</file>